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12" w:rsidRPr="00C83664" w:rsidRDefault="00870341" w:rsidP="00870341">
      <w:pPr>
        <w:jc w:val="center"/>
        <w:rPr>
          <w:b/>
          <w:sz w:val="40"/>
        </w:rPr>
      </w:pPr>
      <w:r w:rsidRPr="00C83664">
        <w:rPr>
          <w:b/>
          <w:sz w:val="40"/>
        </w:rPr>
        <w:t>Kulturní akce</w:t>
      </w:r>
      <w:r w:rsidR="00C83664">
        <w:rPr>
          <w:b/>
          <w:sz w:val="40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sz w:val="28"/>
              </w:rPr>
            </w:pPr>
            <w:r w:rsidRPr="00C83664">
              <w:rPr>
                <w:rFonts w:cs="Times New Roman"/>
                <w:b/>
                <w:sz w:val="28"/>
              </w:rPr>
              <w:t>Selské slavnosti</w:t>
            </w:r>
            <w:r w:rsidRPr="00C83664">
              <w:rPr>
                <w:rFonts w:cs="Times New Roman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sz w:val="28"/>
              </w:rPr>
              <w:t>Holašovice)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sz w:val="28"/>
              </w:rPr>
            </w:pPr>
            <w:r w:rsidRPr="00C83664">
              <w:rPr>
                <w:rFonts w:cs="Times New Roman"/>
                <w:b/>
                <w:sz w:val="28"/>
              </w:rPr>
              <w:t>Jarmark sv. Jiljí Lhenice</w:t>
            </w:r>
            <w:r w:rsidRPr="00C83664">
              <w:rPr>
                <w:rFonts w:cs="Times New Roman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sz w:val="28"/>
              </w:rPr>
              <w:t>(Lhenice)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sz w:val="28"/>
              </w:rPr>
            </w:pPr>
            <w:r w:rsidRPr="00C83664">
              <w:rPr>
                <w:rFonts w:cs="Times New Roman"/>
                <w:b/>
                <w:sz w:val="28"/>
              </w:rPr>
              <w:t>Slavnosti plodů – ovocnářský jarmark</w:t>
            </w:r>
            <w:r w:rsidRPr="00C83664">
              <w:rPr>
                <w:rFonts w:cs="Times New Roman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sz w:val="28"/>
              </w:rPr>
              <w:t>(Chelčicko-Lhenicko)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Svatojakubská pouť ve Lhenicích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(Lhenice)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Živý betlém v kostele sv. Martina v Chelčicích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Kostel sv. Martina Chelčice)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 xml:space="preserve">Masopust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(Zahorčice, Zlatá Koruna, Jankov aj.)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Včelenský trh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Včelná)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Křemežský víkend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(Křemže)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Hudební festival Pod lípou v Jámě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(Mičovice)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Boršovské trhy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Boršov nad Vltavou)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Setkání u pomníku amerického pilota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Boršov nad Vltavou)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Vaříme, pečeme a smažíme regionální potraviny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(Pištín)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Netolický jarmark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Netolice)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Divadelní léto na zámku Kratochvíle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(zámek Kratochvíle, Netolice)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Open air fest Ktiš 2019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(Ktiš)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Staročeské dožínky na Blatech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Plástovice)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Kubatovy slavnosti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Dívčice)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Zahorčické divadelní léto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Boršov nad Vltavou)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Boršovské slavnosti těstovin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(Boršov nad Vltavou)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Příjezd Paní Zimy do Netolic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(Netolice)</w:t>
            </w:r>
          </w:p>
        </w:tc>
      </w:tr>
    </w:tbl>
    <w:p w:rsidR="00870341" w:rsidRDefault="00870341"/>
    <w:p w:rsidR="00870341" w:rsidRPr="00C83664" w:rsidRDefault="00870341" w:rsidP="00870341">
      <w:pPr>
        <w:jc w:val="center"/>
        <w:rPr>
          <w:b/>
          <w:sz w:val="40"/>
        </w:rPr>
      </w:pPr>
      <w:r w:rsidRPr="00C83664">
        <w:rPr>
          <w:b/>
          <w:sz w:val="40"/>
        </w:rPr>
        <w:t>Sportovní akce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sz w:val="28"/>
              </w:rPr>
            </w:pPr>
            <w:r w:rsidRPr="00C83664">
              <w:rPr>
                <w:rFonts w:cs="Times New Roman"/>
                <w:b/>
                <w:sz w:val="28"/>
              </w:rPr>
              <w:t>Slavnosti plodů – cykloakce na Chelčicku – Lhenicku</w:t>
            </w:r>
            <w:r w:rsidRPr="00C83664">
              <w:rPr>
                <w:rFonts w:cs="Times New Roman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sz w:val="28"/>
              </w:rPr>
              <w:t>Chelčice)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sz w:val="28"/>
              </w:rPr>
            </w:pPr>
            <w:r w:rsidRPr="00C83664">
              <w:rPr>
                <w:rFonts w:cs="Times New Roman"/>
                <w:b/>
                <w:sz w:val="28"/>
              </w:rPr>
              <w:t>Netolické dostihy (</w:t>
            </w:r>
            <w:r w:rsidRPr="00C83664">
              <w:rPr>
                <w:rFonts w:cs="Times New Roman"/>
                <w:i/>
                <w:sz w:val="28"/>
              </w:rPr>
              <w:t>Netolice)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Slavnosti květů - jarní cykloturistická akce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(Brloh)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Novoroční výstup na Kleť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Kleť)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Himalájský tygr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Kleť)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Vyběhnutí se zimou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(Lhenice)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Dubenský běh</w:t>
            </w:r>
            <w:r w:rsidRPr="00C83664">
              <w:rPr>
                <w:rFonts w:cs="Times New Roman"/>
                <w:color w:val="000000"/>
                <w:sz w:val="28"/>
              </w:rPr>
              <w:t xml:space="preserve"> 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(Dubné)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cs="Times New Roman"/>
                <w:i/>
                <w:color w:val="000000"/>
                <w:sz w:val="28"/>
              </w:rPr>
            </w:pPr>
            <w:r w:rsidRPr="00C83664">
              <w:rPr>
                <w:rFonts w:cs="Times New Roman"/>
                <w:b/>
                <w:color w:val="000000"/>
                <w:sz w:val="28"/>
              </w:rPr>
              <w:t>Kolem kolem Netolic</w:t>
            </w:r>
            <w:r w:rsidRPr="00C83664">
              <w:rPr>
                <w:rFonts w:cs="Times New Roman"/>
                <w:color w:val="000000"/>
                <w:sz w:val="28"/>
              </w:rPr>
              <w:t xml:space="preserve"> (</w:t>
            </w:r>
            <w:r w:rsidRPr="00C83664">
              <w:rPr>
                <w:rFonts w:cs="Times New Roman"/>
                <w:i/>
                <w:color w:val="000000"/>
                <w:sz w:val="28"/>
              </w:rPr>
              <w:t>Netolice)</w:t>
            </w: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Pr="00C83664" w:rsidRDefault="00870341" w:rsidP="00870341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</w:tr>
      <w:tr w:rsidR="00870341" w:rsidTr="00870341">
        <w:tc>
          <w:tcPr>
            <w:tcW w:w="9062" w:type="dxa"/>
            <w:vAlign w:val="bottom"/>
          </w:tcPr>
          <w:p w:rsidR="00870341" w:rsidRDefault="00870341" w:rsidP="0087034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70341" w:rsidRDefault="00870341"/>
    <w:sectPr w:rsidR="0087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9E" w:rsidRDefault="00535D9E" w:rsidP="00870341">
      <w:pPr>
        <w:spacing w:after="0" w:line="240" w:lineRule="auto"/>
      </w:pPr>
      <w:r>
        <w:separator/>
      </w:r>
    </w:p>
  </w:endnote>
  <w:endnote w:type="continuationSeparator" w:id="0">
    <w:p w:rsidR="00535D9E" w:rsidRDefault="00535D9E" w:rsidP="0087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9E" w:rsidRDefault="00535D9E" w:rsidP="00870341">
      <w:pPr>
        <w:spacing w:after="0" w:line="240" w:lineRule="auto"/>
      </w:pPr>
      <w:r>
        <w:separator/>
      </w:r>
    </w:p>
  </w:footnote>
  <w:footnote w:type="continuationSeparator" w:id="0">
    <w:p w:rsidR="00535D9E" w:rsidRDefault="00535D9E" w:rsidP="0087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1"/>
    <w:rsid w:val="000A4A12"/>
    <w:rsid w:val="00535D9E"/>
    <w:rsid w:val="00870341"/>
    <w:rsid w:val="009C45BE"/>
    <w:rsid w:val="00C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AF4C-0B09-4E76-8B5A-4D5BFF38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jitka.kosova6@seznam.cz</dc:creator>
  <cp:keywords/>
  <dc:description/>
  <cp:lastModifiedBy>jitka.kosova6@seznam.cz</cp:lastModifiedBy>
  <cp:revision>2</cp:revision>
  <dcterms:created xsi:type="dcterms:W3CDTF">2019-06-27T09:44:00Z</dcterms:created>
  <dcterms:modified xsi:type="dcterms:W3CDTF">2019-06-27T10:01:00Z</dcterms:modified>
</cp:coreProperties>
</file>